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D6" w:rsidRDefault="00702C5C">
      <w:pPr>
        <w:spacing w:line="560" w:lineRule="exact"/>
        <w:jc w:val="center"/>
        <w:rPr>
          <w:rFonts w:ascii="黑体" w:eastAsia="黑体" w:hAnsi="黑体" w:cs="仿宋_GB2312"/>
          <w:b/>
          <w:color w:val="000000"/>
          <w:kern w:val="0"/>
          <w:sz w:val="36"/>
          <w:szCs w:val="36"/>
        </w:rPr>
      </w:pPr>
      <w:r w:rsidRPr="00920BC7">
        <w:rPr>
          <w:rFonts w:ascii="黑体" w:eastAsia="黑体" w:hAnsi="黑体" w:cs="仿宋_GB2312" w:hint="eastAsia"/>
          <w:b/>
          <w:color w:val="000000"/>
          <w:kern w:val="0"/>
          <w:sz w:val="36"/>
          <w:szCs w:val="36"/>
        </w:rPr>
        <w:t>科研秘书、对外交流与合作、资产秘书职责</w:t>
      </w:r>
    </w:p>
    <w:p w:rsidR="00C738C4" w:rsidRPr="00920BC7" w:rsidRDefault="004905D6">
      <w:pPr>
        <w:spacing w:line="560" w:lineRule="exact"/>
        <w:jc w:val="center"/>
        <w:rPr>
          <w:rFonts w:ascii="黑体" w:eastAsia="黑体" w:hAnsi="黑体" w:cs="仿宋_GB2312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仿宋_GB2312" w:hint="eastAsia"/>
          <w:b/>
          <w:color w:val="000000"/>
          <w:kern w:val="0"/>
          <w:sz w:val="36"/>
          <w:szCs w:val="36"/>
        </w:rPr>
        <w:t>及工作流程</w:t>
      </w:r>
    </w:p>
    <w:p w:rsidR="00857FC7" w:rsidRDefault="0062597A" w:rsidP="00B53000">
      <w:pPr>
        <w:spacing w:line="560" w:lineRule="exact"/>
        <w:jc w:val="left"/>
        <w:rPr>
          <w:rFonts w:ascii="楷体" w:eastAsia="楷体" w:hAnsi="楷体" w:cs="仿宋_GB2312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color w:val="000000"/>
          <w:kern w:val="0"/>
          <w:sz w:val="32"/>
          <w:szCs w:val="32"/>
        </w:rPr>
        <w:t>周盼盼   208办公室   83968258</w:t>
      </w:r>
    </w:p>
    <w:p w:rsidR="00B53000" w:rsidRPr="00B53000" w:rsidRDefault="00B53000" w:rsidP="00B53000">
      <w:pPr>
        <w:spacing w:line="560" w:lineRule="exact"/>
        <w:jc w:val="left"/>
        <w:rPr>
          <w:rFonts w:ascii="楷体" w:eastAsia="楷体" w:hAnsi="楷体"/>
          <w:b/>
          <w:kern w:val="0"/>
          <w:sz w:val="32"/>
          <w:szCs w:val="32"/>
        </w:rPr>
      </w:pPr>
      <w:r w:rsidRPr="00E56633">
        <w:rPr>
          <w:rFonts w:ascii="楷体" w:eastAsia="楷体" w:hAnsi="楷体" w:cs="仿宋_GB2312" w:hint="eastAsia"/>
          <w:b/>
          <w:color w:val="000000"/>
          <w:kern w:val="0"/>
          <w:sz w:val="32"/>
          <w:szCs w:val="32"/>
        </w:rPr>
        <w:t>一、工作职责</w:t>
      </w:r>
    </w:p>
    <w:p w:rsidR="00C738C4" w:rsidRDefault="00702C5C">
      <w:pPr>
        <w:tabs>
          <w:tab w:val="left" w:pos="1701"/>
        </w:tabs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第一条</w:t>
      </w:r>
      <w:r w:rsidR="00EC03C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在主管院领导和办公室主任领导下开展工作，在具体业务上对分管领导负责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，协助办公室主任做好各类活动、会议筹备、接待等工作。</w:t>
      </w:r>
    </w:p>
    <w:p w:rsidR="00C738C4" w:rsidRDefault="00702C5C">
      <w:pPr>
        <w:tabs>
          <w:tab w:val="left" w:pos="1701"/>
        </w:tabs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协助分管副院长完成学院学术会议、讲座、论坛等申报和组织工作，做好专家接洽安排、会场布置、人员参加和费用报销的落实工作。</w:t>
      </w:r>
    </w:p>
    <w:p w:rsidR="00C738C4" w:rsidRDefault="00702C5C">
      <w:pPr>
        <w:tabs>
          <w:tab w:val="left" w:pos="1701"/>
        </w:tabs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第三条</w:t>
      </w:r>
      <w:r w:rsidR="00EC03C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协助分管副院长落实全院教职工科研项目申报管理工作，完成学院年度科研成果登记、相关证书复印件留存和归档工作。</w:t>
      </w:r>
    </w:p>
    <w:p w:rsidR="00C738C4" w:rsidRDefault="00702C5C">
      <w:pPr>
        <w:tabs>
          <w:tab w:val="left" w:pos="1701"/>
        </w:tabs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第四条</w:t>
      </w:r>
      <w:r w:rsidR="00EC03C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协助分管副院长落实学院国际合作人才培养、学术交流、互访等工作，包括师生境外的学术活动、联合培养等申报、组织工作。</w:t>
      </w:r>
    </w:p>
    <w:p w:rsidR="00C738C4" w:rsidRDefault="00702C5C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第五条</w:t>
      </w:r>
      <w:r w:rsidR="00EC03C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资产的购买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、入库、变更、报失、报废和报账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等</w:t>
      </w:r>
      <w:r w:rsidR="00EC03C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管理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；报刊信件的订阅和收发和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学院资料室、阳光书屋登记入库、管理工作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C738C4" w:rsidRDefault="00702C5C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第六条</w:t>
      </w:r>
      <w:r w:rsidR="002B792A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协助</w:t>
      </w:r>
      <w:r w:rsidR="002B79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领导完成学院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实验室管理工作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：实验室的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定期安全巡查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日常统计、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制度完善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等工作。</w:t>
      </w:r>
    </w:p>
    <w:p w:rsidR="00C738C4" w:rsidRDefault="00702C5C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第七条</w:t>
      </w:r>
      <w:r w:rsidR="00EC03C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协助办公室主任承担部分日常内务工作：管理学院老师办公室钥匙，做好办公用品、后勤保障用品、劳保用具发放，办公家具、设备的日常维护及相关费用报销工作。</w:t>
      </w:r>
    </w:p>
    <w:p w:rsidR="00284D59" w:rsidRDefault="00284D59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lastRenderedPageBreak/>
        <w:t xml:space="preserve">第八条 </w:t>
      </w:r>
      <w:r w:rsidRPr="00284D5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协助分管领导对口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学校社科处、科技处、国际交流处、</w:t>
      </w:r>
      <w:r w:rsidRPr="00B53000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国有资产与实验室管理处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相关工作。</w:t>
      </w:r>
    </w:p>
    <w:p w:rsidR="00C738C4" w:rsidRDefault="00702C5C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第</w:t>
      </w:r>
      <w:r w:rsidR="00284D59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条</w:t>
      </w:r>
      <w:r w:rsidR="002B792A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完成学院领导</w:t>
      </w:r>
      <w:r w:rsidR="00857FC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、办公室主任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交办的其</w:t>
      </w:r>
      <w:r w:rsidR="00857FC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任务。</w:t>
      </w:r>
    </w:p>
    <w:p w:rsidR="00B53000" w:rsidRPr="00E56633" w:rsidRDefault="00B53000" w:rsidP="00B53000">
      <w:pPr>
        <w:pStyle w:val="a9"/>
        <w:snapToGrid w:val="0"/>
        <w:spacing w:before="0" w:beforeAutospacing="0" w:after="0" w:afterAutospacing="0" w:line="560" w:lineRule="exact"/>
        <w:rPr>
          <w:rFonts w:ascii="楷体" w:eastAsia="楷体" w:hAnsi="楷体" w:cs="仿宋_GB2312"/>
          <w:b/>
          <w:color w:val="000000"/>
          <w:sz w:val="32"/>
          <w:szCs w:val="32"/>
        </w:rPr>
      </w:pPr>
      <w:r w:rsidRPr="00E56633">
        <w:rPr>
          <w:rFonts w:ascii="楷体" w:eastAsia="楷体" w:hAnsi="楷体" w:cs="仿宋_GB2312" w:hint="eastAsia"/>
          <w:b/>
          <w:color w:val="000000"/>
          <w:sz w:val="32"/>
          <w:szCs w:val="32"/>
        </w:rPr>
        <w:t>二、工作流程图</w:t>
      </w:r>
    </w:p>
    <w:p w:rsidR="00C738C4" w:rsidRDefault="00702C5C">
      <w:pPr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学术会议、讲座、论坛申报流程图</w:t>
      </w:r>
    </w:p>
    <w:p w:rsidR="00C738C4" w:rsidRDefault="00702C5C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网上申报并打印申报单→分管领导审批、盖章→书记审批、盖章→社科处领导审批、盖章→党委宣传部领导审批、盖章</w:t>
      </w:r>
      <w:r w:rsidR="00BD086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C738C4" w:rsidRDefault="00702C5C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ascii="MicrosoftYaHei" w:hAnsi="MicrosoftYaHei" w:hint="eastAsia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38100</wp:posOffset>
            </wp:positionV>
            <wp:extent cx="5247005" cy="635635"/>
            <wp:effectExtent l="0" t="0" r="10795" b="12065"/>
            <wp:wrapTopAndBottom/>
            <wp:docPr id="10" name="图片 10" descr="学术会议、讲座、论坛申报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术会议、讲座、论坛申报流程图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38309" r="398" b="3894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资产管理流程图</w:t>
      </w:r>
    </w:p>
    <w:bookmarkEnd w:id="0"/>
    <w:p w:rsidR="00C738C4" w:rsidRDefault="00702C5C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申购人在招标采购系统采购→货物送达，核对清单无误→资产管理平台入库→资产员审核通过→</w:t>
      </w:r>
      <w:r w:rsidR="00B53000" w:rsidRPr="00B53000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国有资产与实验室管理处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审核通过</w:t>
      </w:r>
      <w:r w:rsidR="00BD086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C738C4" w:rsidRDefault="00284D59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273675" cy="850900"/>
            <wp:effectExtent l="19050" t="0" r="317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8C4" w:rsidRDefault="00BD0861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境外/国际交换生</w:t>
      </w:r>
      <w:r w:rsidR="00702C5C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项目管理流程图</w:t>
      </w:r>
    </w:p>
    <w:p w:rsidR="00C738C4" w:rsidRDefault="00223D8A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发布项目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选拔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通知、组织学生报名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组织院内选拔并院内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公示→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协调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交换生外出学习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相关程序办理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交换生外出学习行前安全教育→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交换生学习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过程管理及学习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结束返校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管理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→</w:t>
      </w:r>
      <w:r w:rsidR="00702C5C">
        <w:rPr>
          <w:rFonts w:ascii="仿宋" w:eastAsia="仿宋" w:hAnsi="仿宋" w:cs="仿宋" w:hint="eastAsia"/>
          <w:sz w:val="30"/>
          <w:szCs w:val="30"/>
        </w:rPr>
        <w:t>课程认定及学分成绩转换、报账</w:t>
      </w:r>
      <w:r w:rsidR="00BD0861">
        <w:rPr>
          <w:rFonts w:ascii="仿宋" w:eastAsia="仿宋" w:hAnsi="仿宋" w:cs="仿宋" w:hint="eastAsia"/>
          <w:sz w:val="30"/>
          <w:szCs w:val="30"/>
        </w:rPr>
        <w:t>。</w:t>
      </w:r>
    </w:p>
    <w:p w:rsidR="00223D8A" w:rsidRPr="00B53000" w:rsidRDefault="00284D5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noProof/>
          <w:sz w:val="30"/>
          <w:szCs w:val="30"/>
        </w:rPr>
        <w:drawing>
          <wp:inline distT="0" distB="0" distL="0" distR="0">
            <wp:extent cx="5273675" cy="1073785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8C4" w:rsidRDefault="00702C5C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lastRenderedPageBreak/>
        <w:t>实验室日常管理流程图（安全管理）</w:t>
      </w:r>
    </w:p>
    <w:p w:rsidR="00C738C4" w:rsidRDefault="00702C5C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实验课</w:t>
      </w:r>
      <w:r w:rsidR="00223D8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教师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实验室安全注意事项</w:t>
      </w:r>
      <w:r w:rsidR="00223D8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提示及学生进行实验室安全教育培训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→实验</w:t>
      </w:r>
      <w:r w:rsidR="00223D8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室课程运行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→实验课结束</w:t>
      </w:r>
      <w:r w:rsidR="00223D8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安全问题检查、记录。</w:t>
      </w:r>
    </w:p>
    <w:p w:rsidR="00C738C4" w:rsidRDefault="00284D59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273675" cy="903605"/>
            <wp:effectExtent l="19050" t="0" r="317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8C4" w:rsidRDefault="00702C5C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科研项目管理流程图</w:t>
      </w:r>
    </w:p>
    <w:p w:rsidR="00C738C4" w:rsidRDefault="00223D8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及时接收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社科处项目通知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及分管副院长相关项目申报通知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拟定院内项目申报通知并发布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组织项目申报过程管理→项目申报结果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提交社科处</w:t>
      </w:r>
    </w:p>
    <w:p w:rsidR="00C738C4" w:rsidRDefault="00284D59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273675" cy="1042035"/>
            <wp:effectExtent l="19050" t="0" r="317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8C4" w:rsidRDefault="00702C5C">
      <w:pPr>
        <w:rPr>
          <w:rFonts w:ascii="MicrosoftYaHei" w:hAnsi="MicrosoftYaHei" w:hint="eastAsia"/>
          <w:b/>
          <w:spacing w:val="9"/>
          <w:kern w:val="0"/>
          <w:sz w:val="32"/>
          <w:szCs w:val="32"/>
        </w:rPr>
      </w:pPr>
      <w:r>
        <w:rPr>
          <w:rFonts w:ascii="MicrosoftYaHei" w:hAnsi="MicrosoftYaHei" w:hint="eastAsia"/>
          <w:b/>
          <w:spacing w:val="9"/>
          <w:kern w:val="0"/>
          <w:sz w:val="32"/>
          <w:szCs w:val="32"/>
        </w:rPr>
        <w:t>离职、调岗资产变动交接流程</w:t>
      </w:r>
    </w:p>
    <w:p w:rsidR="00223D8A" w:rsidRPr="00284D59" w:rsidRDefault="00223D8A" w:rsidP="00284D59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资产所属人</w:t>
      </w:r>
      <w:r w:rsidR="00702C5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在资产管理平台提交资产转交申请→资产接收人确认→资产管理员审核通过→流程结束</w:t>
      </w:r>
    </w:p>
    <w:p w:rsidR="00C738C4" w:rsidRDefault="00702C5C">
      <w:pPr>
        <w:rPr>
          <w:rFonts w:ascii="MicrosoftYaHei" w:hAnsi="MicrosoftYaHei" w:hint="eastAsia"/>
          <w:b/>
          <w:spacing w:val="9"/>
          <w:kern w:val="0"/>
          <w:sz w:val="32"/>
          <w:szCs w:val="32"/>
        </w:rPr>
      </w:pPr>
      <w:r>
        <w:rPr>
          <w:rFonts w:ascii="MicrosoftYaHei" w:hAnsi="MicrosoftYaHei" w:hint="eastAsia"/>
          <w:noProof/>
          <w:spacing w:val="9"/>
          <w:kern w:val="0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5268595" cy="719455"/>
            <wp:effectExtent l="0" t="0" r="8255" b="4445"/>
            <wp:wrapTopAndBottom/>
            <wp:docPr id="11" name="图片 11" descr="离职、调岗资产变动交接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离职、调岗资产变动交接流程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38387" r="72" b="3762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YaHei" w:hAnsi="MicrosoftYaHei" w:hint="eastAsia"/>
          <w:b/>
          <w:spacing w:val="9"/>
          <w:kern w:val="0"/>
          <w:sz w:val="32"/>
          <w:szCs w:val="32"/>
        </w:rPr>
        <w:t>图书资料上架</w:t>
      </w:r>
      <w:r w:rsidR="00223D8A">
        <w:rPr>
          <w:rFonts w:ascii="MicrosoftYaHei" w:hAnsi="MicrosoftYaHei" w:hint="eastAsia"/>
          <w:b/>
          <w:spacing w:val="9"/>
          <w:kern w:val="0"/>
          <w:sz w:val="32"/>
          <w:szCs w:val="32"/>
        </w:rPr>
        <w:t>管理</w:t>
      </w:r>
      <w:r>
        <w:rPr>
          <w:rFonts w:ascii="MicrosoftYaHei" w:hAnsi="MicrosoftYaHei" w:hint="eastAsia"/>
          <w:b/>
          <w:spacing w:val="9"/>
          <w:kern w:val="0"/>
          <w:sz w:val="32"/>
          <w:szCs w:val="32"/>
        </w:rPr>
        <w:t>流程</w:t>
      </w:r>
    </w:p>
    <w:p w:rsidR="00C738C4" w:rsidRDefault="00702C5C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图书资料送到→清点、盖章→期刊管理系统签收→图书资料室上架→流程结束</w:t>
      </w:r>
    </w:p>
    <w:p w:rsidR="00C738C4" w:rsidRDefault="00702C5C">
      <w:r>
        <w:rPr>
          <w:rFonts w:ascii="宋体" w:hAnsi="宋体" w:hint="eastAsia"/>
          <w:noProof/>
          <w:color w:val="2B2B2B"/>
          <w:kern w:val="0"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5259705" cy="1066165"/>
            <wp:effectExtent l="0" t="0" r="17145" b="635"/>
            <wp:wrapTopAndBottom/>
            <wp:docPr id="12" name="图片 12" descr="图书资料上架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书资料上架流程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t="33436" r="241" b="34338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38C4" w:rsidSect="00C738C4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5C" w:rsidRDefault="00CB155C" w:rsidP="00EC03CE">
      <w:r>
        <w:separator/>
      </w:r>
    </w:p>
  </w:endnote>
  <w:endnote w:type="continuationSeparator" w:id="1">
    <w:p w:rsidR="00CB155C" w:rsidRDefault="00CB155C" w:rsidP="00EC0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8853"/>
      <w:docPartObj>
        <w:docPartGallery w:val="Page Numbers (Bottom of Page)"/>
        <w:docPartUnique/>
      </w:docPartObj>
    </w:sdtPr>
    <w:sdtContent>
      <w:p w:rsidR="00A70263" w:rsidRDefault="000129B5">
        <w:pPr>
          <w:pStyle w:val="a4"/>
          <w:jc w:val="center"/>
        </w:pPr>
        <w:fldSimple w:instr=" PAGE   \* MERGEFORMAT ">
          <w:r w:rsidR="0062597A" w:rsidRPr="0062597A">
            <w:rPr>
              <w:noProof/>
              <w:lang w:val="zh-CN"/>
            </w:rPr>
            <w:t>1</w:t>
          </w:r>
        </w:fldSimple>
      </w:p>
    </w:sdtContent>
  </w:sdt>
  <w:p w:rsidR="00A70263" w:rsidRDefault="00A702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5C" w:rsidRDefault="00CB155C" w:rsidP="00EC03CE">
      <w:r>
        <w:separator/>
      </w:r>
    </w:p>
  </w:footnote>
  <w:footnote w:type="continuationSeparator" w:id="1">
    <w:p w:rsidR="00CB155C" w:rsidRDefault="00CB155C" w:rsidP="00EC0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8C4"/>
    <w:rsid w:val="000129B5"/>
    <w:rsid w:val="000C0251"/>
    <w:rsid w:val="0021183D"/>
    <w:rsid w:val="00223D8A"/>
    <w:rsid w:val="00284D59"/>
    <w:rsid w:val="002B792A"/>
    <w:rsid w:val="004905D6"/>
    <w:rsid w:val="005101F6"/>
    <w:rsid w:val="0062597A"/>
    <w:rsid w:val="006577B0"/>
    <w:rsid w:val="00702C5C"/>
    <w:rsid w:val="00857FC7"/>
    <w:rsid w:val="008B6A16"/>
    <w:rsid w:val="00920BC7"/>
    <w:rsid w:val="00A70263"/>
    <w:rsid w:val="00B53000"/>
    <w:rsid w:val="00BD0861"/>
    <w:rsid w:val="00C016D1"/>
    <w:rsid w:val="00C738C4"/>
    <w:rsid w:val="00CB155C"/>
    <w:rsid w:val="00CE165C"/>
    <w:rsid w:val="00EC03CE"/>
    <w:rsid w:val="2A295882"/>
    <w:rsid w:val="3F6262BB"/>
    <w:rsid w:val="48563992"/>
    <w:rsid w:val="4D66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page number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8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C738C4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C73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  <w:rsid w:val="00C738C4"/>
  </w:style>
  <w:style w:type="character" w:styleId="a6">
    <w:name w:val="annotation reference"/>
    <w:basedOn w:val="a0"/>
    <w:uiPriority w:val="99"/>
    <w:semiHidden/>
    <w:unhideWhenUsed/>
    <w:qFormat/>
    <w:rsid w:val="00C738C4"/>
    <w:rPr>
      <w:sz w:val="21"/>
      <w:szCs w:val="21"/>
    </w:rPr>
  </w:style>
  <w:style w:type="paragraph" w:styleId="a7">
    <w:name w:val="header"/>
    <w:basedOn w:val="a"/>
    <w:link w:val="Char0"/>
    <w:rsid w:val="00EC0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C03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EC03CE"/>
    <w:rPr>
      <w:sz w:val="18"/>
      <w:szCs w:val="18"/>
    </w:rPr>
  </w:style>
  <w:style w:type="character" w:customStyle="1" w:styleId="Char1">
    <w:name w:val="批注框文本 Char"/>
    <w:basedOn w:val="a0"/>
    <w:link w:val="a8"/>
    <w:rsid w:val="00EC03C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702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530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161</Words>
  <Characters>919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李宽柏</cp:lastModifiedBy>
  <cp:revision>18</cp:revision>
  <dcterms:created xsi:type="dcterms:W3CDTF">2021-03-09T06:55:00Z</dcterms:created>
  <dcterms:modified xsi:type="dcterms:W3CDTF">2021-03-18T01:10:00Z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